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BF480F">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7145C1">
        <w:rPr>
          <w:rFonts w:ascii="宋体" w:eastAsia="宋体" w:hAnsi="宋体" w:cs="宋体" w:hint="eastAsia"/>
          <w:color w:val="000000"/>
          <w:sz w:val="24"/>
          <w:szCs w:val="24"/>
        </w:rPr>
        <w:t>共享轮椅</w:t>
      </w:r>
      <w:r w:rsidR="00CD5FFA">
        <w:rPr>
          <w:rFonts w:ascii="宋体" w:eastAsia="宋体" w:hAnsi="宋体" w:cs="宋体" w:hint="eastAsia"/>
          <w:color w:val="000000"/>
          <w:sz w:val="24"/>
          <w:szCs w:val="24"/>
        </w:rPr>
        <w:t>投放</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F66F31">
        <w:rPr>
          <w:rFonts w:asciiTheme="majorEastAsia" w:eastAsiaTheme="majorEastAsia" w:hAnsiTheme="majorEastAsia" w:cs="宋体"/>
          <w:color w:val="000000" w:themeColor="text1"/>
          <w:sz w:val="24"/>
          <w:szCs w:val="24"/>
        </w:rPr>
        <w:t>20180607-1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DA5085">
        <w:rPr>
          <w:rFonts w:cs="宋体" w:hint="eastAsia"/>
          <w:b/>
          <w:bCs/>
          <w:sz w:val="30"/>
          <w:szCs w:val="30"/>
        </w:rPr>
        <w:t>六</w:t>
      </w:r>
      <w:r w:rsidR="002E2261" w:rsidRPr="001843C9">
        <w:rPr>
          <w:rFonts w:cs="宋体" w:hint="eastAsia"/>
          <w:b/>
          <w:bCs/>
          <w:sz w:val="30"/>
          <w:szCs w:val="30"/>
        </w:rPr>
        <w:t>月</w:t>
      </w:r>
      <w:r w:rsidR="00DA5085">
        <w:rPr>
          <w:rFonts w:cs="宋体" w:hint="eastAsia"/>
          <w:b/>
          <w:bCs/>
          <w:sz w:val="30"/>
          <w:szCs w:val="30"/>
        </w:rPr>
        <w:t>七</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D86210">
              <w:rPr>
                <w:rFonts w:ascii="宋体" w:eastAsia="宋体" w:hAnsi="宋体" w:cs="宋体" w:hint="eastAsia"/>
                <w:color w:val="000000"/>
                <w:sz w:val="24"/>
                <w:szCs w:val="24"/>
              </w:rPr>
              <w:t>共享轮椅</w:t>
            </w:r>
            <w:r w:rsidR="00CD5FFA">
              <w:rPr>
                <w:rFonts w:ascii="宋体" w:eastAsia="宋体" w:hAnsi="宋体" w:cs="宋体" w:hint="eastAsia"/>
                <w:color w:val="000000"/>
                <w:sz w:val="24"/>
                <w:szCs w:val="24"/>
              </w:rPr>
              <w:t>投放</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r w:rsidRPr="001843C9">
              <w:rPr>
                <w:rFonts w:cs="宋体" w:hint="eastAsia"/>
                <w:sz w:val="24"/>
              </w:rPr>
              <w:t>签定合同后</w:t>
            </w:r>
            <w:r w:rsidR="00DA5085">
              <w:rPr>
                <w:sz w:val="24"/>
              </w:rPr>
              <w:t>15</w:t>
            </w:r>
            <w:bookmarkStart w:id="0" w:name="_GoBack"/>
            <w:bookmarkEnd w:id="0"/>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DA5085">
              <w:rPr>
                <w:rFonts w:asciiTheme="minorEastAsia" w:hAnsiTheme="minorEastAsia" w:cs="宋体"/>
                <w:sz w:val="24"/>
                <w:szCs w:val="24"/>
              </w:rPr>
              <w:t>6</w:t>
            </w:r>
            <w:r w:rsidRPr="00C06BF2">
              <w:rPr>
                <w:rFonts w:asciiTheme="minorEastAsia" w:hAnsiTheme="minorEastAsia" w:cs="宋体" w:hint="eastAsia"/>
                <w:sz w:val="24"/>
                <w:szCs w:val="24"/>
              </w:rPr>
              <w:t>月</w:t>
            </w:r>
            <w:r w:rsidR="00DA5085">
              <w:rPr>
                <w:rFonts w:asciiTheme="minorEastAsia" w:hAnsiTheme="minorEastAsia" w:cs="宋体"/>
                <w:sz w:val="24"/>
                <w:szCs w:val="24"/>
              </w:rPr>
              <w:t>7</w:t>
            </w:r>
            <w:r w:rsidRPr="00C06BF2">
              <w:rPr>
                <w:rFonts w:asciiTheme="minorEastAsia" w:hAnsiTheme="minorEastAsia" w:cs="宋体" w:hint="eastAsia"/>
                <w:sz w:val="24"/>
                <w:szCs w:val="24"/>
              </w:rPr>
              <w:t>日至2018年</w:t>
            </w:r>
            <w:r w:rsidR="00DA5085">
              <w:rPr>
                <w:rFonts w:asciiTheme="minorEastAsia" w:hAnsiTheme="minorEastAsia" w:cs="宋体"/>
                <w:sz w:val="24"/>
                <w:szCs w:val="24"/>
              </w:rPr>
              <w:t>6</w:t>
            </w:r>
            <w:r w:rsidRPr="00C06BF2">
              <w:rPr>
                <w:rFonts w:asciiTheme="minorEastAsia" w:hAnsiTheme="minorEastAsia" w:cs="宋体" w:hint="eastAsia"/>
                <w:sz w:val="24"/>
                <w:szCs w:val="24"/>
              </w:rPr>
              <w:t>月</w:t>
            </w:r>
            <w:r w:rsidR="00DA5085">
              <w:rPr>
                <w:rFonts w:asciiTheme="minorEastAsia" w:hAnsiTheme="minorEastAsia" w:cs="宋体"/>
                <w:sz w:val="24"/>
                <w:szCs w:val="24"/>
              </w:rPr>
              <w:t>13</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817EA0" w:rsidRPr="00817EA0" w:rsidRDefault="00817EA0" w:rsidP="00817EA0">
      <w:pPr>
        <w:spacing w:line="240" w:lineRule="auto"/>
        <w:rPr>
          <w:sz w:val="24"/>
        </w:rPr>
      </w:pPr>
      <w:r>
        <w:rPr>
          <w:rFonts w:hint="eastAsia"/>
          <w:sz w:val="24"/>
        </w:rPr>
        <w:t>2</w:t>
      </w:r>
      <w:r>
        <w:rPr>
          <w:rFonts w:hint="eastAsia"/>
          <w:sz w:val="24"/>
        </w:rPr>
        <w:t>、</w:t>
      </w:r>
      <w:r w:rsidRPr="006D3CCC">
        <w:rPr>
          <w:rFonts w:hint="eastAsia"/>
          <w:sz w:val="24"/>
        </w:rPr>
        <w:t>投标人注册资金必须达</w:t>
      </w:r>
      <w:r>
        <w:rPr>
          <w:sz w:val="24"/>
        </w:rPr>
        <w:t>100</w:t>
      </w:r>
      <w:r w:rsidRPr="006D3CCC">
        <w:rPr>
          <w:rFonts w:hint="eastAsia"/>
          <w:sz w:val="24"/>
        </w:rPr>
        <w:t>万人民币（含</w:t>
      </w:r>
      <w:r>
        <w:rPr>
          <w:sz w:val="24"/>
        </w:rPr>
        <w:t>100</w:t>
      </w:r>
      <w:r w:rsidRPr="006D3CCC">
        <w:rPr>
          <w:rFonts w:hint="eastAsia"/>
          <w:sz w:val="24"/>
        </w:rPr>
        <w:t>万）。</w:t>
      </w:r>
    </w:p>
    <w:p w:rsidR="00817EA0" w:rsidRDefault="00817EA0" w:rsidP="00817EA0">
      <w:pPr>
        <w:shd w:val="clear" w:color="auto" w:fill="FFFFFF"/>
        <w:spacing w:line="360" w:lineRule="atLeast"/>
        <w:rPr>
          <w:rFonts w:ascii="宋体" w:eastAsia="宋体" w:hAnsi="宋体" w:cs="宋体"/>
          <w:color w:val="000000" w:themeColor="text1"/>
          <w:sz w:val="24"/>
          <w:szCs w:val="24"/>
        </w:rPr>
      </w:pPr>
      <w:r>
        <w:rPr>
          <w:rFonts w:ascii="宋体" w:hAnsi="宋体"/>
        </w:rPr>
        <w:t>3</w:t>
      </w:r>
      <w:r w:rsidR="00D86210">
        <w:rPr>
          <w:rFonts w:ascii="宋体" w:hAnsi="宋体"/>
        </w:rPr>
        <w:t>、</w:t>
      </w:r>
      <w:r w:rsidR="00D86210">
        <w:rPr>
          <w:rFonts w:ascii="宋体" w:hAnsi="宋体" w:hint="eastAsia"/>
        </w:rPr>
        <w:t>投放</w:t>
      </w:r>
      <w:r w:rsidR="00D86210" w:rsidRPr="00D86210">
        <w:rPr>
          <w:rFonts w:ascii="宋体" w:eastAsia="宋体" w:hAnsi="宋体" w:cs="宋体" w:hint="eastAsia"/>
          <w:color w:val="000000" w:themeColor="text1"/>
          <w:sz w:val="24"/>
          <w:szCs w:val="24"/>
        </w:rPr>
        <w:t>的轮椅必须</w:t>
      </w:r>
      <w:r w:rsidR="00114FCF">
        <w:rPr>
          <w:rFonts w:ascii="宋体" w:eastAsia="宋体" w:hAnsi="宋体" w:cs="宋体" w:hint="eastAsia"/>
          <w:color w:val="000000" w:themeColor="text1"/>
          <w:sz w:val="24"/>
          <w:szCs w:val="24"/>
        </w:rPr>
        <w:t>提供</w:t>
      </w:r>
      <w:r w:rsidR="00CD5FFA" w:rsidRPr="00CD5FFA">
        <w:rPr>
          <w:rFonts w:ascii="宋体" w:eastAsia="宋体" w:hAnsi="宋体" w:cs="宋体" w:hint="eastAsia"/>
          <w:color w:val="000000" w:themeColor="text1"/>
          <w:sz w:val="24"/>
          <w:szCs w:val="24"/>
        </w:rPr>
        <w:t>国家相关主管部门鉴定符合质量要求</w:t>
      </w:r>
      <w:r w:rsidR="00114FCF">
        <w:rPr>
          <w:rFonts w:ascii="宋体" w:eastAsia="宋体" w:hAnsi="宋体" w:cs="宋体" w:hint="eastAsia"/>
          <w:color w:val="000000" w:themeColor="text1"/>
          <w:sz w:val="24"/>
          <w:szCs w:val="24"/>
        </w:rPr>
        <w:t>的</w:t>
      </w:r>
      <w:r w:rsidR="00CD5FFA">
        <w:rPr>
          <w:rFonts w:ascii="宋体" w:eastAsia="宋体" w:hAnsi="宋体" w:cs="宋体" w:hint="eastAsia"/>
          <w:color w:val="000000" w:themeColor="text1"/>
          <w:sz w:val="24"/>
          <w:szCs w:val="24"/>
        </w:rPr>
        <w:t>检测报告。</w:t>
      </w:r>
    </w:p>
    <w:p w:rsidR="00CD5FFA" w:rsidRPr="00817EA0" w:rsidRDefault="00817EA0"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color w:val="000000" w:themeColor="text1"/>
          <w:sz w:val="24"/>
          <w:szCs w:val="24"/>
        </w:rPr>
        <w:t>4</w:t>
      </w:r>
      <w:r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lastRenderedPageBreak/>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CD5FFA">
        <w:rPr>
          <w:rFonts w:ascii="宋体" w:eastAsia="宋体" w:hAnsi="宋体" w:cs="宋体" w:hint="eastAsia"/>
          <w:color w:val="000000"/>
          <w:sz w:val="24"/>
          <w:szCs w:val="24"/>
        </w:rPr>
        <w:t>共享轮椅投放</w:t>
      </w:r>
    </w:p>
    <w:p w:rsidR="000946EF" w:rsidRDefault="00CD5FFA"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CD5FFA"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CD5FFA" w:rsidP="00277AAF">
      <w:pPr>
        <w:spacing w:line="240" w:lineRule="auto"/>
        <w:rPr>
          <w:b/>
          <w:bCs/>
          <w:sz w:val="28"/>
          <w:szCs w:val="28"/>
        </w:rPr>
      </w:pPr>
      <w:r>
        <w:rPr>
          <w:rFonts w:cs="宋体" w:hint="eastAsia"/>
          <w:b/>
          <w:bCs/>
          <w:sz w:val="28"/>
          <w:szCs w:val="28"/>
        </w:rPr>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CD5FFA" w:rsidP="00277AAF">
      <w:pPr>
        <w:spacing w:line="240" w:lineRule="auto"/>
        <w:rPr>
          <w:b/>
          <w:bCs/>
          <w:sz w:val="28"/>
          <w:szCs w:val="28"/>
        </w:rPr>
      </w:pPr>
      <w:r>
        <w:rPr>
          <w:rFonts w:cs="宋体" w:hint="eastAsia"/>
          <w:b/>
          <w:bCs/>
          <w:sz w:val="28"/>
          <w:szCs w:val="28"/>
        </w:rPr>
        <w:t>八</w:t>
      </w:r>
      <w:r w:rsidR="000946EF">
        <w:rPr>
          <w:rFonts w:cs="宋体" w:hint="eastAsia"/>
          <w:b/>
          <w:bCs/>
          <w:sz w:val="28"/>
          <w:szCs w:val="28"/>
        </w:rPr>
        <w:t>、售后服务：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CD5FFA"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9E50D9" w:rsidRDefault="009E50D9"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CD5FFA" w:rsidRDefault="00CD5FFA"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Default="008E522B" w:rsidP="00EC6AE4">
      <w:pPr>
        <w:spacing w:line="240" w:lineRule="auto"/>
        <w:rPr>
          <w:sz w:val="24"/>
        </w:rPr>
      </w:pPr>
    </w:p>
    <w:p w:rsidR="008E522B" w:rsidRPr="00743B40" w:rsidRDefault="008E522B" w:rsidP="008E522B">
      <w:pPr>
        <w:pStyle w:val="af5"/>
        <w:spacing w:before="156"/>
        <w:ind w:firstLine="640"/>
        <w:jc w:val="both"/>
        <w:rPr>
          <w:rFonts w:ascii="黑体" w:eastAsia="黑体" w:hAnsi="黑体"/>
          <w:sz w:val="36"/>
          <w:szCs w:val="36"/>
        </w:rPr>
      </w:pPr>
      <w:bookmarkStart w:id="1" w:name="_Toc512101943"/>
      <w:r w:rsidRPr="00743B40">
        <w:rPr>
          <w:rFonts w:ascii="黑体" w:eastAsia="黑体" w:hAnsi="黑体"/>
          <w:sz w:val="36"/>
          <w:szCs w:val="36"/>
        </w:rPr>
        <w:t>技术要求</w:t>
      </w:r>
      <w:bookmarkEnd w:id="1"/>
    </w:p>
    <w:p w:rsidR="008E522B" w:rsidRPr="007D4DBA" w:rsidRDefault="008E522B" w:rsidP="008E522B">
      <w:pPr>
        <w:spacing w:line="500" w:lineRule="exact"/>
        <w:ind w:left="2"/>
        <w:rPr>
          <w:rFonts w:ascii="宋体" w:hAnsi="宋体"/>
          <w:b/>
          <w:sz w:val="28"/>
          <w:szCs w:val="28"/>
        </w:rPr>
      </w:pPr>
      <w:r w:rsidRPr="007D4DBA">
        <w:rPr>
          <w:rFonts w:ascii="宋体" w:hAnsi="宋体" w:hint="eastAsia"/>
          <w:b/>
          <w:sz w:val="28"/>
          <w:szCs w:val="28"/>
        </w:rPr>
        <w:t>技术</w:t>
      </w:r>
      <w:r w:rsidRPr="007D4DBA">
        <w:rPr>
          <w:rFonts w:ascii="宋体" w:hAnsi="宋体"/>
          <w:b/>
          <w:sz w:val="28"/>
          <w:szCs w:val="28"/>
        </w:rPr>
        <w:t>部分</w:t>
      </w:r>
      <w:r w:rsidRPr="007D4DBA">
        <w:rPr>
          <w:rFonts w:ascii="宋体" w:hAnsi="宋体" w:hint="eastAsia"/>
          <w:b/>
          <w:sz w:val="28"/>
          <w:szCs w:val="28"/>
        </w:rPr>
        <w:t>情况</w:t>
      </w:r>
      <w:r w:rsidRPr="007D4DBA">
        <w:rPr>
          <w:rFonts w:ascii="宋体" w:hAnsi="宋体"/>
          <w:b/>
          <w:sz w:val="28"/>
          <w:szCs w:val="28"/>
        </w:rPr>
        <w:t>表</w:t>
      </w:r>
      <w:r w:rsidRPr="007D4DBA">
        <w:rPr>
          <w:rFonts w:ascii="宋体" w:hAnsi="宋体" w:hint="eastAsia"/>
          <w:b/>
          <w:sz w:val="28"/>
          <w:szCs w:val="28"/>
        </w:rPr>
        <w:t>：</w:t>
      </w:r>
    </w:p>
    <w:tbl>
      <w:tblPr>
        <w:tblW w:w="9480"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5793"/>
        <w:gridCol w:w="1843"/>
      </w:tblGrid>
      <w:tr w:rsidR="00CD0C5C" w:rsidRPr="008C4233" w:rsidTr="00CD0C5C">
        <w:trPr>
          <w:trHeight w:val="1040"/>
        </w:trPr>
        <w:tc>
          <w:tcPr>
            <w:tcW w:w="568" w:type="dxa"/>
          </w:tcPr>
          <w:p w:rsidR="00CD0C5C" w:rsidRPr="00743B40" w:rsidRDefault="00CD0C5C" w:rsidP="00B46D49">
            <w:pPr>
              <w:rPr>
                <w:rFonts w:ascii="宋体" w:hAnsi="宋体"/>
                <w:b/>
                <w:sz w:val="24"/>
                <w:szCs w:val="24"/>
              </w:rPr>
            </w:pPr>
            <w:r w:rsidRPr="00743B40">
              <w:rPr>
                <w:rFonts w:ascii="宋体" w:hAnsi="宋体" w:hint="eastAsia"/>
                <w:b/>
                <w:sz w:val="24"/>
                <w:szCs w:val="24"/>
              </w:rPr>
              <w:t>序号</w:t>
            </w:r>
          </w:p>
        </w:tc>
        <w:tc>
          <w:tcPr>
            <w:tcW w:w="1276" w:type="dxa"/>
          </w:tcPr>
          <w:p w:rsidR="00CD0C5C" w:rsidRPr="00743B40" w:rsidRDefault="00CD0C5C" w:rsidP="00B46D49">
            <w:pPr>
              <w:rPr>
                <w:rFonts w:ascii="宋体" w:hAnsi="宋体"/>
                <w:b/>
                <w:sz w:val="24"/>
                <w:szCs w:val="24"/>
              </w:rPr>
            </w:pPr>
            <w:r w:rsidRPr="00743B40">
              <w:rPr>
                <w:rFonts w:ascii="宋体" w:hAnsi="宋体" w:hint="eastAsia"/>
                <w:b/>
                <w:sz w:val="24"/>
                <w:szCs w:val="24"/>
              </w:rPr>
              <w:t>内容</w:t>
            </w:r>
          </w:p>
        </w:tc>
        <w:tc>
          <w:tcPr>
            <w:tcW w:w="5793" w:type="dxa"/>
          </w:tcPr>
          <w:p w:rsidR="00CD0C5C" w:rsidRPr="00743B40" w:rsidRDefault="00CD0C5C" w:rsidP="00B46D49">
            <w:pPr>
              <w:rPr>
                <w:rFonts w:ascii="宋体" w:hAnsi="宋体"/>
                <w:b/>
                <w:sz w:val="24"/>
                <w:szCs w:val="24"/>
              </w:rPr>
            </w:pPr>
            <w:r w:rsidRPr="00743B40">
              <w:rPr>
                <w:rFonts w:ascii="宋体" w:hAnsi="宋体" w:hint="eastAsia"/>
                <w:b/>
                <w:sz w:val="24"/>
                <w:szCs w:val="24"/>
              </w:rPr>
              <w:t>招标文件要求</w:t>
            </w:r>
          </w:p>
        </w:tc>
        <w:tc>
          <w:tcPr>
            <w:tcW w:w="1843" w:type="dxa"/>
            <w:vAlign w:val="center"/>
          </w:tcPr>
          <w:p w:rsidR="00CD0C5C" w:rsidRPr="00743B40" w:rsidRDefault="00CD0C5C" w:rsidP="00B46D49">
            <w:pPr>
              <w:rPr>
                <w:rFonts w:ascii="宋体" w:hAnsi="宋体"/>
                <w:b/>
                <w:sz w:val="24"/>
                <w:szCs w:val="24"/>
              </w:rPr>
            </w:pPr>
            <w:r w:rsidRPr="00743B40">
              <w:rPr>
                <w:rFonts w:ascii="宋体" w:hAnsi="宋体" w:hint="eastAsia"/>
                <w:b/>
                <w:sz w:val="24"/>
                <w:szCs w:val="24"/>
              </w:rPr>
              <w:t>说明（</w:t>
            </w:r>
            <w:r w:rsidRPr="00743B40">
              <w:rPr>
                <w:rFonts w:ascii="宋体" w:hAnsi="宋体"/>
                <w:b/>
                <w:sz w:val="24"/>
                <w:szCs w:val="24"/>
              </w:rPr>
              <w:t>无偏离、正偏离、负偏离</w:t>
            </w:r>
          </w:p>
        </w:tc>
      </w:tr>
      <w:tr w:rsidR="00CD0C5C" w:rsidRPr="008C4233" w:rsidTr="00CD0C5C">
        <w:trPr>
          <w:trHeight w:hRule="exact" w:val="375"/>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1</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内容</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轮椅及配套设施免费投放；</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422"/>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2</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数量</w:t>
            </w:r>
          </w:p>
        </w:tc>
        <w:tc>
          <w:tcPr>
            <w:tcW w:w="5793" w:type="dxa"/>
          </w:tcPr>
          <w:p w:rsidR="00CD0C5C" w:rsidRPr="00743B40" w:rsidRDefault="00CD0C5C" w:rsidP="00B46D49">
            <w:pPr>
              <w:rPr>
                <w:rFonts w:ascii="宋体" w:hAnsi="宋体"/>
                <w:sz w:val="24"/>
                <w:szCs w:val="24"/>
              </w:rPr>
            </w:pPr>
            <w:r>
              <w:rPr>
                <w:rFonts w:ascii="宋体" w:hAnsi="宋体" w:hint="eastAsia"/>
                <w:sz w:val="24"/>
                <w:szCs w:val="24"/>
              </w:rPr>
              <w:t>11</w:t>
            </w:r>
            <w:r w:rsidRPr="00743B40">
              <w:rPr>
                <w:rFonts w:ascii="宋体" w:hAnsi="宋体" w:hint="eastAsia"/>
                <w:sz w:val="24"/>
                <w:szCs w:val="24"/>
              </w:rPr>
              <w:t>套；</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854"/>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3</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主要用途</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方便患者，尤其是急重症及行动不便的患者；</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413"/>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4</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外观</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简单、大方、颜色自然；</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843"/>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5</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广告推送</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必须经医院同意，避免影响医院形象及信誉；</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1292"/>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6</w:t>
            </w:r>
          </w:p>
        </w:tc>
        <w:tc>
          <w:tcPr>
            <w:tcW w:w="1276" w:type="dxa"/>
          </w:tcPr>
          <w:p w:rsidR="00CD0C5C" w:rsidRPr="00743B40" w:rsidRDefault="00CD0C5C" w:rsidP="00B46D49">
            <w:pPr>
              <w:rPr>
                <w:rFonts w:ascii="宋体" w:hAnsi="宋体"/>
                <w:sz w:val="24"/>
                <w:szCs w:val="24"/>
              </w:rPr>
            </w:pPr>
            <w:r w:rsidRPr="00743B40">
              <w:rPr>
                <w:rFonts w:ascii="宋体" w:hAnsi="宋体" w:hint="eastAsia"/>
                <w:sz w:val="24"/>
                <w:szCs w:val="24"/>
              </w:rPr>
              <w:t>技术要求</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提供轮椅质检报告，强调安全、便捷；</w:t>
            </w:r>
            <w:r>
              <w:rPr>
                <w:rFonts w:ascii="宋体" w:hAnsi="宋体" w:hint="eastAsia"/>
                <w:sz w:val="24"/>
                <w:szCs w:val="24"/>
              </w:rPr>
              <w:t>需要有共享轮椅归位桩</w:t>
            </w:r>
            <w:r w:rsidRPr="00743B40">
              <w:rPr>
                <w:rFonts w:ascii="宋体" w:hAnsi="宋体"/>
                <w:sz w:val="24"/>
                <w:szCs w:val="24"/>
              </w:rPr>
              <w:t xml:space="preserve"> </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1271"/>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7</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保险要求</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必须为轮椅安全运行购买相关保险；</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991"/>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8</w:t>
            </w:r>
          </w:p>
        </w:tc>
        <w:tc>
          <w:tcPr>
            <w:tcW w:w="1276" w:type="dxa"/>
          </w:tcPr>
          <w:p w:rsidR="00CD0C5C" w:rsidRPr="00743B40" w:rsidRDefault="00CD0C5C" w:rsidP="00B46D49">
            <w:pPr>
              <w:rPr>
                <w:rFonts w:ascii="宋体" w:hAnsi="宋体"/>
                <w:sz w:val="24"/>
                <w:szCs w:val="24"/>
              </w:rPr>
            </w:pPr>
            <w:r>
              <w:rPr>
                <w:rFonts w:ascii="宋体" w:hAnsi="宋体" w:hint="eastAsia"/>
                <w:sz w:val="24"/>
                <w:szCs w:val="24"/>
              </w:rPr>
              <w:t>介绍资料要求</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提供轮椅及配套设施的图片及参数介绍材料；</w:t>
            </w:r>
          </w:p>
        </w:tc>
        <w:tc>
          <w:tcPr>
            <w:tcW w:w="1843" w:type="dxa"/>
            <w:vAlign w:val="center"/>
          </w:tcPr>
          <w:p w:rsidR="00CD0C5C" w:rsidRPr="00743B40" w:rsidRDefault="00CD0C5C" w:rsidP="00B46D49">
            <w:pPr>
              <w:jc w:val="center"/>
              <w:rPr>
                <w:rFonts w:ascii="宋体" w:hAnsi="宋体"/>
                <w:sz w:val="24"/>
                <w:szCs w:val="24"/>
              </w:rPr>
            </w:pPr>
          </w:p>
        </w:tc>
      </w:tr>
      <w:tr w:rsidR="00CD0C5C" w:rsidRPr="008C4233" w:rsidTr="00CD0C5C">
        <w:trPr>
          <w:trHeight w:hRule="exact" w:val="1003"/>
        </w:trPr>
        <w:tc>
          <w:tcPr>
            <w:tcW w:w="568" w:type="dxa"/>
          </w:tcPr>
          <w:p w:rsidR="00CD0C5C" w:rsidRPr="00743B40" w:rsidRDefault="00CD0C5C" w:rsidP="00B46D49">
            <w:pPr>
              <w:jc w:val="center"/>
              <w:rPr>
                <w:rFonts w:ascii="宋体" w:hAnsi="宋体"/>
                <w:sz w:val="24"/>
                <w:szCs w:val="24"/>
              </w:rPr>
            </w:pPr>
            <w:r w:rsidRPr="00743B40">
              <w:rPr>
                <w:rFonts w:ascii="宋体" w:hAnsi="宋体" w:hint="eastAsia"/>
                <w:sz w:val="24"/>
                <w:szCs w:val="24"/>
              </w:rPr>
              <w:t>9</w:t>
            </w:r>
          </w:p>
        </w:tc>
        <w:tc>
          <w:tcPr>
            <w:tcW w:w="1276" w:type="dxa"/>
          </w:tcPr>
          <w:p w:rsidR="00CD0C5C" w:rsidRPr="00743B40" w:rsidRDefault="00CD0C5C" w:rsidP="00B46D49">
            <w:pPr>
              <w:jc w:val="center"/>
              <w:rPr>
                <w:rFonts w:ascii="宋体" w:hAnsi="宋体"/>
                <w:sz w:val="24"/>
                <w:szCs w:val="24"/>
              </w:rPr>
            </w:pPr>
            <w:r>
              <w:rPr>
                <w:rFonts w:ascii="宋体" w:hAnsi="宋体" w:hint="eastAsia"/>
                <w:sz w:val="24"/>
                <w:szCs w:val="24"/>
              </w:rPr>
              <w:t>案例</w:t>
            </w:r>
            <w:r w:rsidRPr="00743B40">
              <w:rPr>
                <w:rFonts w:ascii="宋体" w:hAnsi="宋体" w:hint="eastAsia"/>
                <w:sz w:val="24"/>
                <w:szCs w:val="24"/>
              </w:rPr>
              <w:t>要求</w:t>
            </w:r>
          </w:p>
        </w:tc>
        <w:tc>
          <w:tcPr>
            <w:tcW w:w="5793" w:type="dxa"/>
          </w:tcPr>
          <w:p w:rsidR="00CD0C5C" w:rsidRPr="00743B40" w:rsidRDefault="00CD0C5C" w:rsidP="00B46D49">
            <w:pPr>
              <w:rPr>
                <w:rFonts w:ascii="宋体" w:hAnsi="宋体"/>
                <w:sz w:val="24"/>
                <w:szCs w:val="24"/>
              </w:rPr>
            </w:pPr>
            <w:r w:rsidRPr="00743B40">
              <w:rPr>
                <w:rFonts w:ascii="宋体" w:hAnsi="宋体" w:hint="eastAsia"/>
                <w:sz w:val="24"/>
                <w:szCs w:val="24"/>
              </w:rPr>
              <w:t>具有在</w:t>
            </w:r>
            <w:r>
              <w:rPr>
                <w:rFonts w:ascii="宋体" w:hAnsi="宋体" w:hint="eastAsia"/>
                <w:sz w:val="24"/>
                <w:szCs w:val="24"/>
              </w:rPr>
              <w:t>南京</w:t>
            </w:r>
            <w:r w:rsidRPr="00743B40">
              <w:rPr>
                <w:rFonts w:ascii="宋体" w:hAnsi="宋体" w:hint="eastAsia"/>
                <w:sz w:val="24"/>
                <w:szCs w:val="24"/>
              </w:rPr>
              <w:t>医院或其他公共场所投放的案例</w:t>
            </w:r>
          </w:p>
        </w:tc>
        <w:tc>
          <w:tcPr>
            <w:tcW w:w="1843" w:type="dxa"/>
            <w:vAlign w:val="center"/>
          </w:tcPr>
          <w:p w:rsidR="00CD0C5C" w:rsidRPr="00743B40" w:rsidRDefault="00CD0C5C" w:rsidP="00B46D49">
            <w:pPr>
              <w:jc w:val="center"/>
              <w:rPr>
                <w:rFonts w:ascii="宋体" w:hAnsi="宋体"/>
                <w:sz w:val="24"/>
                <w:szCs w:val="24"/>
              </w:rPr>
            </w:pPr>
          </w:p>
        </w:tc>
      </w:tr>
    </w:tbl>
    <w:p w:rsidR="008E522B" w:rsidRDefault="008E522B" w:rsidP="008E522B">
      <w:pPr>
        <w:spacing w:line="500" w:lineRule="exact"/>
        <w:rPr>
          <w:rFonts w:ascii="宋体" w:hAnsi="宋体"/>
          <w:sz w:val="24"/>
          <w:szCs w:val="24"/>
        </w:rPr>
      </w:pPr>
    </w:p>
    <w:p w:rsidR="00CD5FFA" w:rsidRDefault="00CD5FFA" w:rsidP="008E522B">
      <w:pPr>
        <w:spacing w:line="500" w:lineRule="exact"/>
        <w:rPr>
          <w:rFonts w:ascii="宋体" w:hAnsi="宋体"/>
          <w:sz w:val="24"/>
          <w:szCs w:val="24"/>
        </w:rPr>
      </w:pPr>
    </w:p>
    <w:p w:rsidR="00CD5FFA" w:rsidRDefault="00CD5FFA" w:rsidP="008E522B">
      <w:pPr>
        <w:spacing w:line="500" w:lineRule="exact"/>
        <w:rPr>
          <w:rFonts w:ascii="宋体" w:hAnsi="宋体"/>
          <w:sz w:val="24"/>
          <w:szCs w:val="24"/>
        </w:rPr>
      </w:pPr>
    </w:p>
    <w:p w:rsidR="00CD5FFA" w:rsidRDefault="00CD5FFA" w:rsidP="008E522B">
      <w:pPr>
        <w:spacing w:line="500" w:lineRule="exact"/>
        <w:rPr>
          <w:rFonts w:ascii="宋体" w:hAnsi="宋体"/>
          <w:sz w:val="24"/>
          <w:szCs w:val="24"/>
        </w:rPr>
      </w:pPr>
    </w:p>
    <w:p w:rsidR="00CD5FFA" w:rsidRPr="00836ACC" w:rsidRDefault="00CD5FFA" w:rsidP="008E522B">
      <w:pPr>
        <w:spacing w:line="500" w:lineRule="exact"/>
        <w:rPr>
          <w:rFonts w:ascii="宋体" w:hAnsi="宋体"/>
          <w:sz w:val="24"/>
          <w:szCs w:val="24"/>
        </w:rPr>
      </w:pPr>
    </w:p>
    <w:p w:rsidR="008E522B" w:rsidRPr="00836ACC" w:rsidRDefault="008E522B" w:rsidP="008E522B">
      <w:pPr>
        <w:spacing w:line="500" w:lineRule="exact"/>
        <w:ind w:firstLineChars="200" w:firstLine="480"/>
        <w:rPr>
          <w:rFonts w:ascii="宋体" w:hAnsi="宋体"/>
          <w:sz w:val="24"/>
          <w:szCs w:val="24"/>
        </w:rPr>
      </w:pPr>
      <w:r w:rsidRPr="00836ACC">
        <w:rPr>
          <w:rFonts w:ascii="宋体" w:hAnsi="宋体" w:hint="eastAsia"/>
          <w:sz w:val="24"/>
          <w:szCs w:val="24"/>
        </w:rPr>
        <w:lastRenderedPageBreak/>
        <w:t>轮椅及配套设施的图片见投放案例中的图片。</w:t>
      </w:r>
    </w:p>
    <w:p w:rsidR="008E522B" w:rsidRPr="00836ACC" w:rsidRDefault="008E522B" w:rsidP="008E522B">
      <w:pPr>
        <w:spacing w:line="500" w:lineRule="exact"/>
        <w:ind w:firstLineChars="200" w:firstLine="480"/>
        <w:rPr>
          <w:rFonts w:ascii="宋体" w:hAnsi="宋体"/>
          <w:sz w:val="24"/>
          <w:szCs w:val="24"/>
        </w:rPr>
      </w:pPr>
      <w:r w:rsidRPr="00836ACC">
        <w:rPr>
          <w:rFonts w:ascii="宋体" w:hAnsi="宋体" w:hint="eastAsia"/>
          <w:sz w:val="24"/>
          <w:szCs w:val="24"/>
        </w:rPr>
        <w:t xml:space="preserve">归位桩参数为： </w:t>
      </w:r>
      <w:r w:rsidRPr="00836ACC">
        <w:rPr>
          <w:rFonts w:ascii="宋体" w:hAnsi="宋体"/>
          <w:sz w:val="24"/>
          <w:szCs w:val="24"/>
        </w:rPr>
        <w:t>110CM*42CM*110CM</w:t>
      </w:r>
    </w:p>
    <w:p w:rsidR="008E522B" w:rsidRPr="00836ACC" w:rsidRDefault="008E522B" w:rsidP="008E522B">
      <w:pPr>
        <w:spacing w:line="500" w:lineRule="exact"/>
        <w:ind w:firstLineChars="200" w:firstLine="480"/>
        <w:rPr>
          <w:rFonts w:ascii="宋体" w:hAnsi="宋体"/>
          <w:sz w:val="24"/>
          <w:szCs w:val="24"/>
        </w:rPr>
      </w:pPr>
      <w:r w:rsidRPr="00836ACC">
        <w:rPr>
          <w:rFonts w:ascii="宋体" w:hAnsi="宋体" w:hint="eastAsia"/>
          <w:sz w:val="24"/>
          <w:szCs w:val="24"/>
        </w:rPr>
        <w:t>轮椅参数见轮椅检测报告 ，其中最大承重为100KG。对于体重偏重人员也是适用的。</w:t>
      </w:r>
    </w:p>
    <w:p w:rsidR="008E522B" w:rsidRDefault="008E522B" w:rsidP="008E522B"/>
    <w:p w:rsidR="008E522B" w:rsidRPr="00DF6B2A" w:rsidRDefault="008E522B" w:rsidP="008E522B">
      <w:pPr>
        <w:rPr>
          <w:rFonts w:ascii="宋体" w:hAnsi="宋体"/>
          <w:sz w:val="28"/>
          <w:szCs w:val="28"/>
        </w:rPr>
      </w:pPr>
    </w:p>
    <w:p w:rsidR="008E522B" w:rsidRPr="008C4233" w:rsidRDefault="008E522B" w:rsidP="008E522B">
      <w:pPr>
        <w:ind w:firstLineChars="200" w:firstLine="480"/>
        <w:rPr>
          <w:rFonts w:ascii="宋体" w:hAnsi="宋体"/>
          <w:sz w:val="24"/>
          <w:szCs w:val="21"/>
        </w:rPr>
      </w:pPr>
      <w:r w:rsidRPr="008C4233">
        <w:rPr>
          <w:rFonts w:ascii="宋体" w:hAnsi="宋体" w:hint="eastAsia"/>
          <w:noProof/>
          <w:sz w:val="24"/>
          <w:szCs w:val="21"/>
        </w:rPr>
        <w:drawing>
          <wp:inline distT="0" distB="0" distL="0" distR="0" wp14:anchorId="2ED12026" wp14:editId="27CB2BDF">
            <wp:extent cx="2435504" cy="2237265"/>
            <wp:effectExtent l="0" t="95250" r="0" b="86995"/>
            <wp:docPr id="9" name="图片 9" descr="mac:Users:chengqinghua:Desktop:南京.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mac:Users:chengqinghua:Desktop:南京.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467394" cy="2266559"/>
                    </a:xfrm>
                    <a:prstGeom prst="rect">
                      <a:avLst/>
                    </a:prstGeom>
                    <a:noFill/>
                    <a:ln>
                      <a:noFill/>
                    </a:ln>
                  </pic:spPr>
                </pic:pic>
              </a:graphicData>
            </a:graphic>
          </wp:inline>
        </w:drawing>
      </w:r>
      <w:r w:rsidRPr="008C4233">
        <w:rPr>
          <w:rFonts w:ascii="宋体" w:hAnsi="宋体" w:hint="eastAsia"/>
          <w:noProof/>
          <w:sz w:val="28"/>
          <w:szCs w:val="28"/>
        </w:rPr>
        <w:drawing>
          <wp:inline distT="0" distB="0" distL="0" distR="0" wp14:anchorId="385ECA3A" wp14:editId="2780E019">
            <wp:extent cx="2221701" cy="2413460"/>
            <wp:effectExtent l="0" t="0" r="7620" b="6350"/>
            <wp:docPr id="11" name="图片 11" descr="mac:Users:chengqinghua:Desktop:苏大附属医院.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Users:chengqinghua:Desktop:苏大附属医院.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581" cy="2438315"/>
                    </a:xfrm>
                    <a:prstGeom prst="rect">
                      <a:avLst/>
                    </a:prstGeom>
                    <a:noFill/>
                    <a:ln>
                      <a:noFill/>
                    </a:ln>
                  </pic:spPr>
                </pic:pic>
              </a:graphicData>
            </a:graphic>
          </wp:inline>
        </w:drawing>
      </w:r>
    </w:p>
    <w:p w:rsidR="008E522B" w:rsidRDefault="008E522B" w:rsidP="008E522B">
      <w:pPr>
        <w:spacing w:beforeLines="50" w:before="156"/>
        <w:ind w:firstLineChars="200" w:firstLine="560"/>
        <w:rPr>
          <w:rFonts w:ascii="宋体" w:hAnsi="宋体"/>
          <w:sz w:val="28"/>
          <w:szCs w:val="28"/>
        </w:rPr>
      </w:pPr>
      <w:r w:rsidRPr="008C4233">
        <w:rPr>
          <w:rFonts w:ascii="宋体" w:hAnsi="宋体"/>
          <w:noProof/>
          <w:sz w:val="28"/>
          <w:szCs w:val="28"/>
        </w:rPr>
        <w:drawing>
          <wp:inline distT="0" distB="0" distL="0" distR="0" wp14:anchorId="1621EE6F" wp14:editId="2EC4D983">
            <wp:extent cx="2085975" cy="2380720"/>
            <wp:effectExtent l="0" t="0" r="0" b="0"/>
            <wp:docPr id="12" name="图片 12" descr="mac:Users:chengqinghua:Desktop:新华医院.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Users:chengqinghua:Desktop:新华医院.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2602" cy="2422522"/>
                    </a:xfrm>
                    <a:prstGeom prst="rect">
                      <a:avLst/>
                    </a:prstGeom>
                    <a:noFill/>
                    <a:ln>
                      <a:noFill/>
                    </a:ln>
                  </pic:spPr>
                </pic:pic>
              </a:graphicData>
            </a:graphic>
          </wp:inline>
        </w:drawing>
      </w:r>
      <w:r w:rsidRPr="008C4233">
        <w:rPr>
          <w:rFonts w:ascii="宋体" w:hAnsi="宋体" w:hint="eastAsia"/>
          <w:noProof/>
          <w:sz w:val="28"/>
          <w:szCs w:val="28"/>
        </w:rPr>
        <w:drawing>
          <wp:inline distT="0" distB="0" distL="0" distR="0" wp14:anchorId="50D9517A" wp14:editId="3C179BD3">
            <wp:extent cx="2358960" cy="2199621"/>
            <wp:effectExtent l="0" t="76200" r="0" b="67945"/>
            <wp:docPr id="10" name="图片 10" descr="mac:Users:chengqinghua:Desktop:苏北人民医院.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mac:Users:chengqinghua:Desktop:苏北人民医院.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95107" cy="2326571"/>
                    </a:xfrm>
                    <a:prstGeom prst="rect">
                      <a:avLst/>
                    </a:prstGeom>
                    <a:noFill/>
                    <a:ln>
                      <a:noFill/>
                    </a:ln>
                  </pic:spPr>
                </pic:pic>
              </a:graphicData>
            </a:graphic>
          </wp:inline>
        </w:drawing>
      </w:r>
    </w:p>
    <w:p w:rsidR="008E522B" w:rsidRPr="008E522B" w:rsidRDefault="008E522B" w:rsidP="00EC6AE4">
      <w:pPr>
        <w:spacing w:line="240" w:lineRule="auto"/>
        <w:rPr>
          <w:sz w:val="24"/>
        </w:rPr>
      </w:pPr>
    </w:p>
    <w:sectPr w:rsidR="008E522B" w:rsidRPr="008E522B"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61A" w:rsidRDefault="0024761A" w:rsidP="005F0231">
      <w:pPr>
        <w:spacing w:after="0" w:line="240" w:lineRule="auto"/>
      </w:pPr>
      <w:r>
        <w:separator/>
      </w:r>
    </w:p>
  </w:endnote>
  <w:endnote w:type="continuationSeparator" w:id="0">
    <w:p w:rsidR="0024761A" w:rsidRDefault="0024761A"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61A" w:rsidRDefault="0024761A" w:rsidP="005F0231">
      <w:pPr>
        <w:spacing w:after="0" w:line="240" w:lineRule="auto"/>
      </w:pPr>
      <w:r>
        <w:separator/>
      </w:r>
    </w:p>
  </w:footnote>
  <w:footnote w:type="continuationSeparator" w:id="0">
    <w:p w:rsidR="0024761A" w:rsidRDefault="0024761A"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B7BAE"/>
    <w:rsid w:val="000E05F6"/>
    <w:rsid w:val="000E47F3"/>
    <w:rsid w:val="000F0E01"/>
    <w:rsid w:val="00104C88"/>
    <w:rsid w:val="001147F3"/>
    <w:rsid w:val="00114FCF"/>
    <w:rsid w:val="0011590A"/>
    <w:rsid w:val="00133E52"/>
    <w:rsid w:val="001702A6"/>
    <w:rsid w:val="00177A58"/>
    <w:rsid w:val="001843C9"/>
    <w:rsid w:val="00184422"/>
    <w:rsid w:val="00186C33"/>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73E4"/>
    <w:rsid w:val="002374A8"/>
    <w:rsid w:val="0024761A"/>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71638"/>
    <w:rsid w:val="003773B9"/>
    <w:rsid w:val="00382668"/>
    <w:rsid w:val="00394423"/>
    <w:rsid w:val="0039627B"/>
    <w:rsid w:val="003A0B69"/>
    <w:rsid w:val="003A1919"/>
    <w:rsid w:val="003C252C"/>
    <w:rsid w:val="00412A1C"/>
    <w:rsid w:val="00416ABD"/>
    <w:rsid w:val="0042615E"/>
    <w:rsid w:val="00431E64"/>
    <w:rsid w:val="004356B2"/>
    <w:rsid w:val="004367CF"/>
    <w:rsid w:val="00446A7A"/>
    <w:rsid w:val="00452DCA"/>
    <w:rsid w:val="004B032B"/>
    <w:rsid w:val="004B1812"/>
    <w:rsid w:val="004E4278"/>
    <w:rsid w:val="00506EA7"/>
    <w:rsid w:val="005154A1"/>
    <w:rsid w:val="005251A2"/>
    <w:rsid w:val="00525486"/>
    <w:rsid w:val="00551225"/>
    <w:rsid w:val="00551944"/>
    <w:rsid w:val="00582950"/>
    <w:rsid w:val="005861E9"/>
    <w:rsid w:val="00586BB4"/>
    <w:rsid w:val="00595B48"/>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145C1"/>
    <w:rsid w:val="00721F09"/>
    <w:rsid w:val="007229A3"/>
    <w:rsid w:val="00730737"/>
    <w:rsid w:val="00733004"/>
    <w:rsid w:val="00736C0E"/>
    <w:rsid w:val="00777684"/>
    <w:rsid w:val="00784650"/>
    <w:rsid w:val="00793C49"/>
    <w:rsid w:val="007C0F8D"/>
    <w:rsid w:val="007E7192"/>
    <w:rsid w:val="008068B0"/>
    <w:rsid w:val="00817EA0"/>
    <w:rsid w:val="00825535"/>
    <w:rsid w:val="0083348E"/>
    <w:rsid w:val="008338B9"/>
    <w:rsid w:val="00841A80"/>
    <w:rsid w:val="00883C3F"/>
    <w:rsid w:val="00883D94"/>
    <w:rsid w:val="008D62AB"/>
    <w:rsid w:val="008E522B"/>
    <w:rsid w:val="008F2537"/>
    <w:rsid w:val="00905336"/>
    <w:rsid w:val="009406EB"/>
    <w:rsid w:val="009442C1"/>
    <w:rsid w:val="0094481F"/>
    <w:rsid w:val="00956604"/>
    <w:rsid w:val="009829E4"/>
    <w:rsid w:val="00991149"/>
    <w:rsid w:val="009C50B0"/>
    <w:rsid w:val="009C5BA3"/>
    <w:rsid w:val="009E50D9"/>
    <w:rsid w:val="009F1545"/>
    <w:rsid w:val="00A17A67"/>
    <w:rsid w:val="00A208EC"/>
    <w:rsid w:val="00A34B4A"/>
    <w:rsid w:val="00A8582B"/>
    <w:rsid w:val="00AB52E7"/>
    <w:rsid w:val="00AB68A8"/>
    <w:rsid w:val="00AC2E69"/>
    <w:rsid w:val="00AD3A7E"/>
    <w:rsid w:val="00AE3D5B"/>
    <w:rsid w:val="00B0493B"/>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0C5C"/>
    <w:rsid w:val="00CD4BA7"/>
    <w:rsid w:val="00CD5682"/>
    <w:rsid w:val="00CD5FFA"/>
    <w:rsid w:val="00D12E7A"/>
    <w:rsid w:val="00D12E89"/>
    <w:rsid w:val="00D51F57"/>
    <w:rsid w:val="00D672C6"/>
    <w:rsid w:val="00D672EF"/>
    <w:rsid w:val="00D72B5B"/>
    <w:rsid w:val="00D855B0"/>
    <w:rsid w:val="00D86210"/>
    <w:rsid w:val="00DA22AE"/>
    <w:rsid w:val="00DA495C"/>
    <w:rsid w:val="00DA5085"/>
    <w:rsid w:val="00DC640A"/>
    <w:rsid w:val="00DF5F53"/>
    <w:rsid w:val="00DF68D4"/>
    <w:rsid w:val="00E10E2A"/>
    <w:rsid w:val="00E17AEE"/>
    <w:rsid w:val="00E33FFF"/>
    <w:rsid w:val="00E43FD2"/>
    <w:rsid w:val="00E55D91"/>
    <w:rsid w:val="00E614BF"/>
    <w:rsid w:val="00E652C2"/>
    <w:rsid w:val="00E65B12"/>
    <w:rsid w:val="00E90AFB"/>
    <w:rsid w:val="00EB02F8"/>
    <w:rsid w:val="00EC23B5"/>
    <w:rsid w:val="00EC6AE4"/>
    <w:rsid w:val="00EF1DEF"/>
    <w:rsid w:val="00F17A3C"/>
    <w:rsid w:val="00F22D71"/>
    <w:rsid w:val="00F4032C"/>
    <w:rsid w:val="00F43C85"/>
    <w:rsid w:val="00F46161"/>
    <w:rsid w:val="00F65A91"/>
    <w:rsid w:val="00F66F3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265B8"/>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134</cp:revision>
  <cp:lastPrinted>2018-03-20T01:38:00Z</cp:lastPrinted>
  <dcterms:created xsi:type="dcterms:W3CDTF">2016-10-08T02:15:00Z</dcterms:created>
  <dcterms:modified xsi:type="dcterms:W3CDTF">2018-06-07T06:44:00Z</dcterms:modified>
</cp:coreProperties>
</file>